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5220" w:type="dxa"/>
        <w:tblInd w:w="-289" w:type="dxa"/>
        <w:tblLook w:val="04A0" w:firstRow="1" w:lastRow="0" w:firstColumn="1" w:lastColumn="0" w:noHBand="0" w:noVBand="1"/>
      </w:tblPr>
      <w:tblGrid>
        <w:gridCol w:w="524"/>
        <w:gridCol w:w="3905"/>
        <w:gridCol w:w="2747"/>
        <w:gridCol w:w="2747"/>
        <w:gridCol w:w="1059"/>
        <w:gridCol w:w="1059"/>
        <w:gridCol w:w="1060"/>
        <w:gridCol w:w="1059"/>
        <w:gridCol w:w="1060"/>
      </w:tblGrid>
      <w:tr w:rsidR="007457E2" w:rsidRPr="00B229BA" w:rsidTr="007457E2">
        <w:tc>
          <w:tcPr>
            <w:tcW w:w="524" w:type="dxa"/>
          </w:tcPr>
          <w:p w:rsidR="007457E2" w:rsidRPr="00B229BA" w:rsidRDefault="007457E2">
            <w:pPr>
              <w:rPr>
                <w:b/>
              </w:rPr>
            </w:pPr>
            <w:bookmarkStart w:id="0" w:name="_GoBack"/>
            <w:bookmarkEnd w:id="0"/>
          </w:p>
        </w:tc>
        <w:tc>
          <w:tcPr>
            <w:tcW w:w="3905" w:type="dxa"/>
          </w:tcPr>
          <w:p w:rsidR="007457E2" w:rsidRPr="00B229BA" w:rsidRDefault="007457E2">
            <w:pPr>
              <w:rPr>
                <w:b/>
              </w:rPr>
            </w:pPr>
            <w:r w:rsidRPr="00B229BA">
              <w:rPr>
                <w:b/>
              </w:rPr>
              <w:t>Aktionsfelder</w:t>
            </w:r>
          </w:p>
        </w:tc>
        <w:tc>
          <w:tcPr>
            <w:tcW w:w="2747" w:type="dxa"/>
          </w:tcPr>
          <w:p w:rsidR="007457E2" w:rsidRPr="00B229BA" w:rsidRDefault="007457E2">
            <w:pPr>
              <w:rPr>
                <w:b/>
              </w:rPr>
            </w:pPr>
            <w:r>
              <w:rPr>
                <w:b/>
              </w:rPr>
              <w:t>Maßnahme 1</w:t>
            </w:r>
          </w:p>
        </w:tc>
        <w:tc>
          <w:tcPr>
            <w:tcW w:w="2747" w:type="dxa"/>
          </w:tcPr>
          <w:p w:rsidR="007457E2" w:rsidRPr="00B229BA" w:rsidRDefault="007457E2">
            <w:pPr>
              <w:rPr>
                <w:b/>
              </w:rPr>
            </w:pPr>
            <w:r>
              <w:rPr>
                <w:b/>
              </w:rPr>
              <w:t>Maßnahme 2</w:t>
            </w:r>
          </w:p>
        </w:tc>
        <w:tc>
          <w:tcPr>
            <w:tcW w:w="1059" w:type="dxa"/>
          </w:tcPr>
          <w:p w:rsidR="007457E2" w:rsidRPr="00B229BA" w:rsidRDefault="007457E2" w:rsidP="007457E2">
            <w:pPr>
              <w:rPr>
                <w:b/>
              </w:rPr>
            </w:pPr>
            <w:r>
              <w:rPr>
                <w:b/>
              </w:rPr>
              <w:t>Modellcharakter</w:t>
            </w:r>
          </w:p>
        </w:tc>
        <w:tc>
          <w:tcPr>
            <w:tcW w:w="1059" w:type="dxa"/>
          </w:tcPr>
          <w:p w:rsidR="007457E2" w:rsidRDefault="007457E2" w:rsidP="007457E2">
            <w:pPr>
              <w:rPr>
                <w:b/>
              </w:rPr>
            </w:pPr>
            <w:r w:rsidRPr="007457E2">
              <w:rPr>
                <w:b/>
              </w:rPr>
              <w:t>neue Themen oder Ideen</w:t>
            </w:r>
          </w:p>
        </w:tc>
        <w:tc>
          <w:tcPr>
            <w:tcW w:w="1060" w:type="dxa"/>
          </w:tcPr>
          <w:p w:rsidR="007457E2" w:rsidRDefault="007457E2" w:rsidP="007457E2">
            <w:pPr>
              <w:rPr>
                <w:b/>
              </w:rPr>
            </w:pPr>
            <w:proofErr w:type="spellStart"/>
            <w:r w:rsidRPr="007457E2">
              <w:rPr>
                <w:b/>
              </w:rPr>
              <w:t>Gleich</w:t>
            </w:r>
            <w:r>
              <w:rPr>
                <w:b/>
              </w:rPr>
              <w:t>w</w:t>
            </w:r>
            <w:proofErr w:type="spellEnd"/>
            <w:r>
              <w:rPr>
                <w:b/>
              </w:rPr>
              <w:t>.</w:t>
            </w:r>
          </w:p>
          <w:p w:rsidR="007457E2" w:rsidRDefault="007457E2" w:rsidP="007457E2">
            <w:pPr>
              <w:rPr>
                <w:b/>
              </w:rPr>
            </w:pPr>
            <w:r w:rsidRPr="007457E2">
              <w:rPr>
                <w:b/>
              </w:rPr>
              <w:t>Lebensverhältnisse</w:t>
            </w:r>
          </w:p>
        </w:tc>
        <w:tc>
          <w:tcPr>
            <w:tcW w:w="1059" w:type="dxa"/>
          </w:tcPr>
          <w:p w:rsidR="007457E2" w:rsidRDefault="007457E2" w:rsidP="007457E2">
            <w:pPr>
              <w:rPr>
                <w:b/>
              </w:rPr>
            </w:pPr>
            <w:r w:rsidRPr="007457E2">
              <w:rPr>
                <w:b/>
              </w:rPr>
              <w:t xml:space="preserve">neue </w:t>
            </w:r>
          </w:p>
          <w:p w:rsidR="007457E2" w:rsidRDefault="007457E2" w:rsidP="007457E2">
            <w:pPr>
              <w:rPr>
                <w:b/>
              </w:rPr>
            </w:pPr>
            <w:r w:rsidRPr="007457E2">
              <w:rPr>
                <w:b/>
              </w:rPr>
              <w:t>Akteure</w:t>
            </w:r>
          </w:p>
        </w:tc>
        <w:tc>
          <w:tcPr>
            <w:tcW w:w="1060" w:type="dxa"/>
          </w:tcPr>
          <w:p w:rsidR="007457E2" w:rsidRPr="007457E2" w:rsidRDefault="007457E2">
            <w:pPr>
              <w:rPr>
                <w:b/>
              </w:rPr>
            </w:pPr>
            <w:r>
              <w:rPr>
                <w:b/>
              </w:rPr>
              <w:t xml:space="preserve">mit </w:t>
            </w:r>
            <w:r w:rsidRPr="007457E2">
              <w:rPr>
                <w:b/>
              </w:rPr>
              <w:t>innovativen Mitteln</w:t>
            </w:r>
          </w:p>
        </w:tc>
      </w:tr>
      <w:tr w:rsidR="007457E2" w:rsidTr="007457E2">
        <w:tc>
          <w:tcPr>
            <w:tcW w:w="524" w:type="dxa"/>
          </w:tcPr>
          <w:p w:rsidR="007457E2" w:rsidRPr="00073A32" w:rsidRDefault="007457E2">
            <w:r>
              <w:t>a.</w:t>
            </w:r>
          </w:p>
        </w:tc>
        <w:tc>
          <w:tcPr>
            <w:tcW w:w="3905" w:type="dxa"/>
          </w:tcPr>
          <w:p w:rsidR="007457E2" w:rsidRDefault="007457E2">
            <w:r w:rsidRPr="00073A32">
              <w:rPr>
                <w:b/>
              </w:rPr>
              <w:t>Integrierte Mobilität:</w:t>
            </w:r>
            <w:r w:rsidRPr="00073A32">
              <w:t xml:space="preserve"> Umsetzung von Konzepten, die mehrere Verkehrsmittel (vom Rad bis zum Zug) integrieren und dabei möglichst eine Zusammenarbeit über Grenzen von Gebietseinheiten (z. B. Landkreisen, Kommunen) hinweg implizieren. Dabei ist im Sinne der Mobilitätsgarantie ein Augenmerk auf die tatsächliche und nicht nur die fahrplanmäßige Anschlusssicherung zu legen (z. B. durch die Nutzung von Echtzeitdaten).</w:t>
            </w:r>
          </w:p>
        </w:tc>
        <w:tc>
          <w:tcPr>
            <w:tcW w:w="2747" w:type="dxa"/>
          </w:tcPr>
          <w:p w:rsidR="007457E2" w:rsidRDefault="007457E2"/>
        </w:tc>
        <w:tc>
          <w:tcPr>
            <w:tcW w:w="2747" w:type="dxa"/>
          </w:tcPr>
          <w:p w:rsidR="007457E2" w:rsidRDefault="007457E2"/>
        </w:tc>
        <w:tc>
          <w:tcPr>
            <w:tcW w:w="1059" w:type="dxa"/>
          </w:tcPr>
          <w:p w:rsidR="007457E2" w:rsidRDefault="007457E2" w:rsidP="007457E2"/>
        </w:tc>
        <w:tc>
          <w:tcPr>
            <w:tcW w:w="1059" w:type="dxa"/>
          </w:tcPr>
          <w:p w:rsidR="007457E2" w:rsidRDefault="007457E2" w:rsidP="007457E2"/>
        </w:tc>
        <w:tc>
          <w:tcPr>
            <w:tcW w:w="1060" w:type="dxa"/>
          </w:tcPr>
          <w:p w:rsidR="007457E2" w:rsidRDefault="007457E2" w:rsidP="007457E2"/>
        </w:tc>
        <w:tc>
          <w:tcPr>
            <w:tcW w:w="1059" w:type="dxa"/>
          </w:tcPr>
          <w:p w:rsidR="007457E2" w:rsidRDefault="007457E2" w:rsidP="007457E2"/>
        </w:tc>
        <w:tc>
          <w:tcPr>
            <w:tcW w:w="1060" w:type="dxa"/>
          </w:tcPr>
          <w:p w:rsidR="007457E2" w:rsidRDefault="007457E2"/>
        </w:tc>
      </w:tr>
      <w:tr w:rsidR="007457E2" w:rsidTr="007457E2">
        <w:tc>
          <w:tcPr>
            <w:tcW w:w="524" w:type="dxa"/>
          </w:tcPr>
          <w:p w:rsidR="007457E2" w:rsidRDefault="007457E2">
            <w:r>
              <w:t>b.</w:t>
            </w:r>
          </w:p>
        </w:tc>
        <w:tc>
          <w:tcPr>
            <w:tcW w:w="3905" w:type="dxa"/>
          </w:tcPr>
          <w:p w:rsidR="007457E2" w:rsidRDefault="007457E2">
            <w:r w:rsidRPr="00073A32">
              <w:rPr>
                <w:b/>
              </w:rPr>
              <w:t>Bewusstseinswandel:</w:t>
            </w:r>
            <w:r w:rsidRPr="00073A32">
              <w:t xml:space="preserve"> Umsetzung von Ideen, die Bekanntheit und Zuspruch alternativer Mobilitätsformen, einschließlich ÖPNV, in ländlichen Räumen erhöhen. Dazu gehören Maßnahmen des Mobilitätsmanagements, die beispielsweise Beratungs- und Unterstützungsleistungen anbieten.</w:t>
            </w:r>
          </w:p>
        </w:tc>
        <w:tc>
          <w:tcPr>
            <w:tcW w:w="2747" w:type="dxa"/>
          </w:tcPr>
          <w:p w:rsidR="007457E2" w:rsidRDefault="007457E2"/>
        </w:tc>
        <w:tc>
          <w:tcPr>
            <w:tcW w:w="2747" w:type="dxa"/>
          </w:tcPr>
          <w:p w:rsidR="007457E2" w:rsidRDefault="007457E2"/>
        </w:tc>
        <w:tc>
          <w:tcPr>
            <w:tcW w:w="1059" w:type="dxa"/>
          </w:tcPr>
          <w:p w:rsidR="007457E2" w:rsidRDefault="007457E2" w:rsidP="007457E2"/>
        </w:tc>
        <w:tc>
          <w:tcPr>
            <w:tcW w:w="1059" w:type="dxa"/>
          </w:tcPr>
          <w:p w:rsidR="007457E2" w:rsidRDefault="007457E2" w:rsidP="007457E2"/>
        </w:tc>
        <w:tc>
          <w:tcPr>
            <w:tcW w:w="1060" w:type="dxa"/>
          </w:tcPr>
          <w:p w:rsidR="007457E2" w:rsidRDefault="007457E2" w:rsidP="007457E2"/>
        </w:tc>
        <w:tc>
          <w:tcPr>
            <w:tcW w:w="1059" w:type="dxa"/>
          </w:tcPr>
          <w:p w:rsidR="007457E2" w:rsidRDefault="007457E2" w:rsidP="007457E2"/>
        </w:tc>
        <w:tc>
          <w:tcPr>
            <w:tcW w:w="1060" w:type="dxa"/>
          </w:tcPr>
          <w:p w:rsidR="007457E2" w:rsidRDefault="007457E2"/>
        </w:tc>
      </w:tr>
      <w:tr w:rsidR="007457E2" w:rsidTr="007457E2">
        <w:tc>
          <w:tcPr>
            <w:tcW w:w="524" w:type="dxa"/>
          </w:tcPr>
          <w:p w:rsidR="007457E2" w:rsidRDefault="007457E2">
            <w:r>
              <w:t>c.</w:t>
            </w:r>
          </w:p>
        </w:tc>
        <w:tc>
          <w:tcPr>
            <w:tcW w:w="3905" w:type="dxa"/>
          </w:tcPr>
          <w:p w:rsidR="007457E2" w:rsidRDefault="007457E2">
            <w:r w:rsidRPr="00073A32">
              <w:rPr>
                <w:b/>
              </w:rPr>
              <w:t xml:space="preserve">Neue Geschäfts- und Finanzierungsmodelle </w:t>
            </w:r>
            <w:r w:rsidRPr="00073A32">
              <w:t>im Hinblick auf Wirtschaftlichkeit und Kosten für Anbieter und Nutzer: Erprobung von Ansätzen für ein bedarfsgerechtes und bezahlbares öffentliches Mobilitätsangebot im ländlichen Raum, das in Kombination mit Transportmöglichkeiten anderer gewerblicher Dienstleister (z. B. Paketdienste, Pflegedienste, etc.) oder Privatpersonen bereitgestellt wird. Dies kann neue Ansätze zur Nutzerfinanzierung einschließen.</w:t>
            </w:r>
          </w:p>
        </w:tc>
        <w:tc>
          <w:tcPr>
            <w:tcW w:w="2747" w:type="dxa"/>
          </w:tcPr>
          <w:p w:rsidR="007457E2" w:rsidRDefault="007457E2"/>
        </w:tc>
        <w:tc>
          <w:tcPr>
            <w:tcW w:w="2747" w:type="dxa"/>
          </w:tcPr>
          <w:p w:rsidR="007457E2" w:rsidRDefault="007457E2"/>
        </w:tc>
        <w:tc>
          <w:tcPr>
            <w:tcW w:w="1059" w:type="dxa"/>
          </w:tcPr>
          <w:p w:rsidR="007457E2" w:rsidRDefault="007457E2" w:rsidP="007457E2"/>
        </w:tc>
        <w:tc>
          <w:tcPr>
            <w:tcW w:w="1059" w:type="dxa"/>
          </w:tcPr>
          <w:p w:rsidR="007457E2" w:rsidRDefault="007457E2" w:rsidP="007457E2"/>
        </w:tc>
        <w:tc>
          <w:tcPr>
            <w:tcW w:w="1060" w:type="dxa"/>
          </w:tcPr>
          <w:p w:rsidR="007457E2" w:rsidRDefault="007457E2" w:rsidP="007457E2"/>
        </w:tc>
        <w:tc>
          <w:tcPr>
            <w:tcW w:w="1059" w:type="dxa"/>
          </w:tcPr>
          <w:p w:rsidR="007457E2" w:rsidRDefault="007457E2" w:rsidP="007457E2"/>
        </w:tc>
        <w:tc>
          <w:tcPr>
            <w:tcW w:w="1060" w:type="dxa"/>
          </w:tcPr>
          <w:p w:rsidR="007457E2" w:rsidRDefault="007457E2"/>
        </w:tc>
      </w:tr>
    </w:tbl>
    <w:p w:rsidR="00073A32" w:rsidRDefault="00073A32"/>
    <w:tbl>
      <w:tblPr>
        <w:tblStyle w:val="Tabellenraster"/>
        <w:tblW w:w="14530" w:type="dxa"/>
        <w:tblLook w:val="04A0" w:firstRow="1" w:lastRow="0" w:firstColumn="1" w:lastColumn="0" w:noHBand="0" w:noVBand="1"/>
      </w:tblPr>
      <w:tblGrid>
        <w:gridCol w:w="562"/>
        <w:gridCol w:w="4678"/>
        <w:gridCol w:w="3147"/>
        <w:gridCol w:w="3071"/>
        <w:gridCol w:w="3072"/>
      </w:tblGrid>
      <w:tr w:rsidR="00073A32" w:rsidTr="00073A32">
        <w:tc>
          <w:tcPr>
            <w:tcW w:w="562" w:type="dxa"/>
          </w:tcPr>
          <w:p w:rsidR="00073A32" w:rsidRDefault="00073A32">
            <w:r>
              <w:t>d.</w:t>
            </w:r>
          </w:p>
        </w:tc>
        <w:tc>
          <w:tcPr>
            <w:tcW w:w="4678" w:type="dxa"/>
          </w:tcPr>
          <w:p w:rsidR="00073A32" w:rsidRDefault="00073A32">
            <w:r w:rsidRPr="00073A32">
              <w:rPr>
                <w:b/>
              </w:rPr>
              <w:t>Verbesserung der Anschlussmobilität</w:t>
            </w:r>
            <w:r w:rsidRPr="00073A32">
              <w:t>: Umsetzung von Konzepten, welche die Anbindung der Dörfer an Verkehrsmagistralen/Hauptlinien verbessern und damit einen Beitrag zur verkehrlichen Erschließung der Fläche sowie zur Reduzierung von Reisezeiten leisten. Dazu gehört die Anbindung an Knotenpunkte, wo auf Verkehrsmittel umgestiegen werden kann, die ohne Umweg ins Mittelzentrum bzw. Oberzentrum führen, in Kombination mit Zubringerverkehren, welche „die letzte Meile“ bedienen.</w:t>
            </w:r>
          </w:p>
        </w:tc>
        <w:tc>
          <w:tcPr>
            <w:tcW w:w="3147" w:type="dxa"/>
          </w:tcPr>
          <w:p w:rsidR="00073A32" w:rsidRDefault="00073A32"/>
        </w:tc>
        <w:tc>
          <w:tcPr>
            <w:tcW w:w="3071" w:type="dxa"/>
          </w:tcPr>
          <w:p w:rsidR="00073A32" w:rsidRDefault="00073A32"/>
        </w:tc>
        <w:tc>
          <w:tcPr>
            <w:tcW w:w="3072" w:type="dxa"/>
          </w:tcPr>
          <w:p w:rsidR="00073A32" w:rsidRDefault="00073A32"/>
        </w:tc>
      </w:tr>
      <w:tr w:rsidR="00073A32" w:rsidTr="00073A32">
        <w:tc>
          <w:tcPr>
            <w:tcW w:w="562" w:type="dxa"/>
          </w:tcPr>
          <w:p w:rsidR="00073A32" w:rsidRDefault="00073A32">
            <w:r>
              <w:t>e.</w:t>
            </w:r>
          </w:p>
        </w:tc>
        <w:tc>
          <w:tcPr>
            <w:tcW w:w="4678" w:type="dxa"/>
          </w:tcPr>
          <w:p w:rsidR="00073A32" w:rsidRDefault="00073A32">
            <w:r w:rsidRPr="00073A32">
              <w:rPr>
                <w:b/>
              </w:rPr>
              <w:t>Elternunabhängige Mobilitätslösungen</w:t>
            </w:r>
            <w:r w:rsidRPr="00073A32">
              <w:t>: Neue Mobilitätsangebote für Kinder, Jugendliche und Auszubildende im ländlichen Raum, z. B. Mitfahren in Vertrauensnetzwerken (Schulzentren, Musik-/Berufsschulen, Gewerbegebiete mit hohem Anteil von Auszubildenden) oder Paten-Systeme, die zur Entlastung von Familien beitragen können.</w:t>
            </w:r>
          </w:p>
        </w:tc>
        <w:tc>
          <w:tcPr>
            <w:tcW w:w="3147" w:type="dxa"/>
          </w:tcPr>
          <w:p w:rsidR="00073A32" w:rsidRDefault="00073A32"/>
        </w:tc>
        <w:tc>
          <w:tcPr>
            <w:tcW w:w="3071" w:type="dxa"/>
          </w:tcPr>
          <w:p w:rsidR="00073A32" w:rsidRDefault="00073A32"/>
        </w:tc>
        <w:tc>
          <w:tcPr>
            <w:tcW w:w="3072" w:type="dxa"/>
          </w:tcPr>
          <w:p w:rsidR="00073A32" w:rsidRDefault="00073A32"/>
        </w:tc>
      </w:tr>
    </w:tbl>
    <w:p w:rsidR="00073A32" w:rsidRDefault="00073A32"/>
    <w:sectPr w:rsidR="00073A32" w:rsidSect="007457E2">
      <w:headerReference w:type="default" r:id="rId6"/>
      <w:footerReference w:type="default" r:id="rId7"/>
      <w:pgSz w:w="16838" w:h="11906" w:orient="landscape"/>
      <w:pgMar w:top="851" w:right="1418"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D7" w:rsidRDefault="006A41D7" w:rsidP="00073A32">
      <w:pPr>
        <w:spacing w:after="0" w:line="240" w:lineRule="auto"/>
      </w:pPr>
      <w:r>
        <w:separator/>
      </w:r>
    </w:p>
  </w:endnote>
  <w:endnote w:type="continuationSeparator" w:id="0">
    <w:p w:rsidR="006A41D7" w:rsidRDefault="006A41D7" w:rsidP="0007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429"/>
      <w:gridCol w:w="2857"/>
    </w:tblGrid>
    <w:sdt>
      <w:sdtPr>
        <w:rPr>
          <w:rFonts w:eastAsiaTheme="majorEastAsia" w:cstheme="minorHAnsi"/>
        </w:rPr>
        <w:id w:val="1239054720"/>
        <w:docPartObj>
          <w:docPartGallery w:val="Page Numbers (Bottom of Page)"/>
          <w:docPartUnique/>
        </w:docPartObj>
      </w:sdtPr>
      <w:sdtEndPr>
        <w:rPr>
          <w:rFonts w:eastAsiaTheme="minorHAnsi" w:cstheme="minorBidi"/>
        </w:rPr>
      </w:sdtEndPr>
      <w:sdtContent>
        <w:tr w:rsidR="00073A32">
          <w:trPr>
            <w:trHeight w:val="727"/>
          </w:trPr>
          <w:tc>
            <w:tcPr>
              <w:tcW w:w="4000" w:type="pct"/>
              <w:tcBorders>
                <w:right w:val="triple" w:sz="4" w:space="0" w:color="4472C4" w:themeColor="accent1"/>
              </w:tcBorders>
            </w:tcPr>
            <w:p w:rsidR="00073A32" w:rsidRPr="00B229BA" w:rsidRDefault="00B229BA" w:rsidP="00B229BA">
              <w:pPr>
                <w:tabs>
                  <w:tab w:val="left" w:pos="620"/>
                  <w:tab w:val="center" w:pos="4320"/>
                </w:tabs>
                <w:rPr>
                  <w:rFonts w:eastAsiaTheme="majorEastAsia" w:cstheme="minorHAnsi"/>
                </w:rPr>
              </w:pPr>
              <w:r w:rsidRPr="00B229BA">
                <w:rPr>
                  <w:rFonts w:eastAsiaTheme="majorEastAsia" w:cstheme="minorHAnsi"/>
                </w:rPr>
                <w:t>Stand 15.02.2019</w:t>
              </w:r>
            </w:p>
          </w:tc>
          <w:tc>
            <w:tcPr>
              <w:tcW w:w="1000" w:type="pct"/>
              <w:tcBorders>
                <w:left w:val="triple" w:sz="4" w:space="0" w:color="4472C4" w:themeColor="accent1"/>
              </w:tcBorders>
            </w:tcPr>
            <w:p w:rsidR="00073A32" w:rsidRDefault="00073A32">
              <w:pPr>
                <w:tabs>
                  <w:tab w:val="left" w:pos="1490"/>
                </w:tabs>
                <w:rPr>
                  <w:rFonts w:asciiTheme="majorHAnsi" w:eastAsiaTheme="majorEastAsia" w:hAnsiTheme="majorHAnsi" w:cstheme="majorBidi"/>
                  <w:sz w:val="28"/>
                  <w:szCs w:val="28"/>
                </w:rPr>
              </w:pPr>
              <w:r w:rsidRPr="00B229BA">
                <w:rPr>
                  <w:rFonts w:cstheme="minorHAnsi"/>
                </w:rPr>
                <w:fldChar w:fldCharType="begin"/>
              </w:r>
              <w:r w:rsidRPr="00B229BA">
                <w:rPr>
                  <w:rFonts w:cstheme="minorHAnsi"/>
                </w:rPr>
                <w:instrText>PAGE    \* MERGEFORMAT</w:instrText>
              </w:r>
              <w:r w:rsidRPr="00B229BA">
                <w:rPr>
                  <w:rFonts w:cstheme="minorHAnsi"/>
                </w:rPr>
                <w:fldChar w:fldCharType="separate"/>
              </w:r>
              <w:r w:rsidR="00B229BA">
                <w:rPr>
                  <w:rFonts w:cstheme="minorHAnsi"/>
                  <w:noProof/>
                </w:rPr>
                <w:t>1</w:t>
              </w:r>
              <w:r w:rsidRPr="00B229BA">
                <w:rPr>
                  <w:rFonts w:cstheme="minorHAnsi"/>
                </w:rPr>
                <w:fldChar w:fldCharType="end"/>
              </w:r>
            </w:p>
          </w:tc>
        </w:tr>
      </w:sdtContent>
    </w:sdt>
  </w:tbl>
  <w:p w:rsidR="00073A32" w:rsidRDefault="00073A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D7" w:rsidRDefault="006A41D7" w:rsidP="00073A32">
      <w:pPr>
        <w:spacing w:after="0" w:line="240" w:lineRule="auto"/>
      </w:pPr>
      <w:r>
        <w:separator/>
      </w:r>
    </w:p>
  </w:footnote>
  <w:footnote w:type="continuationSeparator" w:id="0">
    <w:p w:rsidR="006A41D7" w:rsidRDefault="006A41D7" w:rsidP="0007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A32" w:rsidRPr="004C5120" w:rsidRDefault="00B229BA">
    <w:pPr>
      <w:pStyle w:val="Kopfzeile"/>
      <w:rPr>
        <w:sz w:val="24"/>
        <w:szCs w:val="24"/>
      </w:rPr>
    </w:pPr>
    <w:r>
      <w:rPr>
        <w:b/>
        <w:noProof/>
        <w:sz w:val="24"/>
        <w:szCs w:val="24"/>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-154305</wp:posOffset>
          </wp:positionV>
          <wp:extent cx="883920" cy="26225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262255"/>
                  </a:xfrm>
                  <a:prstGeom prst="rect">
                    <a:avLst/>
                  </a:prstGeom>
                  <a:noFill/>
                </pic:spPr>
              </pic:pic>
            </a:graphicData>
          </a:graphic>
          <wp14:sizeRelH relativeFrom="page">
            <wp14:pctWidth>0</wp14:pctWidth>
          </wp14:sizeRelH>
          <wp14:sizeRelV relativeFrom="page">
            <wp14:pctHeight>0</wp14:pctHeight>
          </wp14:sizeRelV>
        </wp:anchor>
      </w:drawing>
    </w:r>
    <w:r w:rsidR="00073A32" w:rsidRPr="004C5120">
      <w:rPr>
        <w:b/>
        <w:sz w:val="24"/>
        <w:szCs w:val="24"/>
      </w:rPr>
      <w:t>Durchführung von Modell- und Demonstrationsvorhaben „</w:t>
    </w:r>
    <w:proofErr w:type="spellStart"/>
    <w:r w:rsidR="00073A32" w:rsidRPr="004C5120">
      <w:rPr>
        <w:b/>
        <w:sz w:val="24"/>
        <w:szCs w:val="24"/>
      </w:rPr>
      <w:t>LandMobil</w:t>
    </w:r>
    <w:proofErr w:type="spellEnd"/>
    <w:r w:rsidR="00073A32" w:rsidRPr="004C5120">
      <w:rPr>
        <w:b/>
        <w:sz w:val="24"/>
        <w:szCs w:val="24"/>
      </w:rPr>
      <w:t xml:space="preserve"> – unterwegs in ländlichen Räumen“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32"/>
    <w:rsid w:val="00073A32"/>
    <w:rsid w:val="00226807"/>
    <w:rsid w:val="004C5120"/>
    <w:rsid w:val="00577DA2"/>
    <w:rsid w:val="006A41D7"/>
    <w:rsid w:val="00740E17"/>
    <w:rsid w:val="007457E2"/>
    <w:rsid w:val="00962FB5"/>
    <w:rsid w:val="00B22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6F1C4-ABDD-493C-9D36-ABC6D57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3A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A32"/>
  </w:style>
  <w:style w:type="paragraph" w:styleId="Fuzeile">
    <w:name w:val="footer"/>
    <w:basedOn w:val="Standard"/>
    <w:link w:val="FuzeileZchn"/>
    <w:uiPriority w:val="99"/>
    <w:unhideWhenUsed/>
    <w:rsid w:val="00073A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Blümel</dc:creator>
  <cp:keywords/>
  <dc:description/>
  <cp:lastModifiedBy>P14@rpghfnew.local</cp:lastModifiedBy>
  <cp:revision>2</cp:revision>
  <dcterms:created xsi:type="dcterms:W3CDTF">2019-02-18T13:41:00Z</dcterms:created>
  <dcterms:modified xsi:type="dcterms:W3CDTF">2019-02-18T13:41:00Z</dcterms:modified>
</cp:coreProperties>
</file>